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4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699"/>
        <w:gridCol w:w="680"/>
        <w:gridCol w:w="1199"/>
        <w:gridCol w:w="7307"/>
        <w:gridCol w:w="750"/>
        <w:gridCol w:w="799"/>
        <w:gridCol w:w="885"/>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488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附件一                      监理项目检查评价表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03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工程名称：</w:t>
            </w:r>
          </w:p>
        </w:tc>
        <w:tc>
          <w:tcPr>
            <w:tcW w:w="730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监理单位：</w:t>
            </w:r>
          </w:p>
        </w:tc>
        <w:tc>
          <w:tcPr>
            <w:tcW w:w="2434" w:type="dxa"/>
            <w:gridSpan w:val="3"/>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检查时间：</w:t>
            </w:r>
          </w:p>
        </w:tc>
        <w:tc>
          <w:tcPr>
            <w:tcW w:w="2103"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类   别</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计分   项目</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内容</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检查要点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应得分</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扣减分数</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实得分数</w:t>
            </w: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项目监理机构(26分)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监理</w:t>
            </w:r>
            <w:r>
              <w:rPr>
                <w:rFonts w:hint="default" w:ascii="仿宋_GB2312" w:hAnsi="宋体" w:eastAsia="仿宋_GB2312" w:cs="仿宋_GB2312"/>
                <w:b/>
                <w:bCs/>
                <w:i w:val="0"/>
                <w:iCs w:val="0"/>
                <w:color w:val="000000"/>
                <w:kern w:val="0"/>
                <w:sz w:val="24"/>
                <w:szCs w:val="24"/>
                <w:u w:val="none"/>
                <w:lang w:val="en-US" w:eastAsia="zh-CN" w:bidi="ar"/>
              </w:rPr>
              <w:t>人员到位</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人员在岗</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在工程施工阶段，总监无故不在施工现场的；总监长期不在施工现场的；总监代表、专业监理工程师长期不在施工现场的；项目监理部人员在岗人数少于备案人数中应在岗人数2/3；未履行变更手续；未到位人员请假未登录“项目监管系统”登记留痕的；扣2~10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证件管理</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监理人员持证上岗，人证合一、证件有效性（有效期、变更信息等）；扣2~6分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人员履职</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总监未按规定在验收文件或其他应由总监签字的文件上签字，或由他人代签的；重要分部（子分部）工程验收时，总监未到场组织的；扣2~10分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监理资料管理(24分)</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资料管理</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现场资料未分类组卷存档管理；或分类组卷不符合福建省建设工程监理文件管理规程的；扣1~3分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5</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工程监理项目备案资料</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建设监理合同（中标通知书）、企业资质、营业执照、总监任命书、监理部人员职责分工表（表“闽建安—监—1”、主体责任承诺书、监理设备清单（含鉴定书）、项目章启用函；扣1~3分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6</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监理规划及细则</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监理规划及细则</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监理企业技术负责人未对监理规划审核及盖公司章，项目总监未审核批准监理细则，签章不全的；扣1~2分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7</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专业性较强的、危险性较大的分部分项工程、“四新”工程等未列入监理细则，实施细则未明确重要（关键）部位/环节及其控制措施；扣1~6分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8</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监理记录</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监理日志</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监理日志记录不及时、不全面，未体现监理工作，尤其是危大工程监理工作，无总监审阅记录；扣1~5分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9</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监理巡视</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无监理人员定期质量监理巡视记录；质量安全巡视记录不全尤其是对关键部位、节点，危险性较大的分部分项工程的巡视；扣1~3分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10</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监理月报</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未及时编制监理月报，总监未审阅签署；扣1~2分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11</w:t>
            </w:r>
          </w:p>
        </w:tc>
        <w:tc>
          <w:tcPr>
            <w:tcW w:w="69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监理工作实施（50分）</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前期阶段监理工作</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开工审查</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无开工生产条件审查、无开工报告、总监未签署意见，总监签字、监理部章不全、未报建设单位审批；扣1~4分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4</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12</w:t>
            </w:r>
          </w:p>
        </w:tc>
        <w:tc>
          <w:tcPr>
            <w:tcW w:w="6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测量成果</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未能提供监理对测量成果（坐标、高程、轴线等）的复核记录；扣1~2分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13</w:t>
            </w:r>
          </w:p>
        </w:tc>
        <w:tc>
          <w:tcPr>
            <w:tcW w:w="6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施工组织设计审查</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专业监理工程师、总监未签署审查意见；总监签字、执业印章、监理部章不全， 审查不认真，存在重大问题或遗漏情况未及时要求纠正;扣2~4分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14</w:t>
            </w:r>
          </w:p>
        </w:tc>
        <w:tc>
          <w:tcPr>
            <w:tcW w:w="6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专项方案 审查</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对危险性较大分部分项工程安全专项施工方案无审查；对超过一定规模危险性较大的分部分项工程安全专项施工方案（论证前）无审查；超过一定规模危险性较大的分部分项工程安全专项施工方案总监未参加专家论证会，论证后未对按专家论证意见修改的安全专项施工方案进行复审；对规范及地方等要求编制专项方案的未督促编制（含噪音防控方案）；编制安全专项施工方案不完善；安全专项施工方案审查不完整（审查意见、总监签字、执业印章、监理部章不全等）；扣3~5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15</w:t>
            </w:r>
          </w:p>
        </w:tc>
        <w:tc>
          <w:tcPr>
            <w:tcW w:w="6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施工单位资格审核</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对施工项目管理机构报审：施工单位执照、资质、安全生产许可；项目经理任命书；组织机构人员配备、岗位资格；安全组织机构、安全机构人员名单；人员资格进行审查；施工项目章授权、特种作业人员等，审查不到位的；扣2~4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16</w:t>
            </w:r>
          </w:p>
        </w:tc>
        <w:tc>
          <w:tcPr>
            <w:tcW w:w="6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图纸会审 设计交底</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无监理图纸自审记录、无图纸会审记录；扣2~3分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17</w:t>
            </w:r>
          </w:p>
        </w:tc>
        <w:tc>
          <w:tcPr>
            <w:tcW w:w="69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第一次工地会议</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总监、专监等主要监理人员未按监理规范要求参加第一次工地会议；无签字记录；扣1~3分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18</w:t>
            </w:r>
          </w:p>
        </w:tc>
        <w:tc>
          <w:tcPr>
            <w:tcW w:w="699" w:type="dxa"/>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监理工作实施（50分）</w:t>
            </w:r>
          </w:p>
        </w:tc>
        <w:tc>
          <w:tcPr>
            <w:tcW w:w="68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质量控制</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材料检查 验收</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未审查工程材料、构配件、设备质量证明文件；材料进场未复检投入使用；材料检测频率不足；无见证取样台账或见证取样台账不全；扣2~4分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19</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企业自查</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监理单位每季度未开展检查的，或开展检查未留下可追溯记录的相片、视频材料的，未能提供已整改的证据；监理部人员未在“闽政通”安全检查系统进行自查或自查频率不满足闽建办建函【2024】10号文规定的;扣1~2分</w:t>
            </w:r>
          </w:p>
        </w:tc>
        <w:tc>
          <w:tcPr>
            <w:tcW w:w="75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20</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监理旁站</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无旁站方案；监理实施细则或旁站方案内容不全的；扣2~4分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4</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21</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未按细则开展监理旁站工作，对关键节点、关键部位、关键工序施工质量旁站记录不全面；扣2~4分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22</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按规定需进行旁站的危险性较大的分部分项工程未进行旁站记录；旁站记录不全面；扣2~4分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23</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工程验收</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对涉及结构安全及使用功能的分部工程未督促施工单位按规定进行相关检测（包括功能检测）；扣4分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24</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及时组织各种隐蔽工程与检验批、分项、分部工程验收和单位工程预验收；重要分部（子分部）等验收记录未见总监签字的；总监未参加竣工验收；验收无执行举牌验收制度，举牌验收资料监理未留存，验收合格的总监理工程师未签字确认；扣4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25</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验收程序不符合规定，专业监理工程师签字不全，存在的问题未按要求整改，验收结论不正确；扣2~4分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26</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将不合格建筑材料、构配件、设备或（隐蔽、分部分项）工程按照合格签认；扣3~4分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27</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未按设计图纸及变更施工的，未及时发现、未及时督促整改；扣4分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28</w:t>
            </w:r>
          </w:p>
        </w:tc>
        <w:tc>
          <w:tcPr>
            <w:tcW w:w="699" w:type="dxa"/>
            <w:vMerge w:val="restart"/>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监理工作实施（50分）</w:t>
            </w:r>
          </w:p>
        </w:tc>
        <w:tc>
          <w:tcPr>
            <w:tcW w:w="68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质量控制</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 xml:space="preserve">质量问题 处理     </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对违反质量管理法规或操作规程的行为未及时制止；扣2~4分；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8</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29</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对不合格建筑材料、构配件设备未责令核验、整改或未见证退场办理退场手续；扣2~</w:t>
            </w:r>
            <w:r>
              <w:rPr>
                <w:rStyle w:val="39"/>
                <w:rFonts w:hAnsi="宋体"/>
                <w:lang w:val="en-US" w:eastAsia="zh-CN" w:bidi="ar"/>
              </w:rPr>
              <w:t>4</w:t>
            </w:r>
            <w:r>
              <w:rPr>
                <w:rStyle w:val="40"/>
                <w:rFonts w:hAnsi="宋体"/>
                <w:lang w:val="en-US" w:eastAsia="zh-CN" w:bidi="ar"/>
              </w:rPr>
              <w:t>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30</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未能发现严重质量隐患或质量缺陷，或不合格材料已经使用于工程；扣</w:t>
            </w:r>
            <w:r>
              <w:rPr>
                <w:rStyle w:val="39"/>
                <w:rFonts w:hAnsi="宋体"/>
                <w:lang w:val="en-US" w:eastAsia="zh-CN" w:bidi="ar"/>
              </w:rPr>
              <w:t>4</w:t>
            </w:r>
            <w:r>
              <w:rPr>
                <w:rStyle w:val="40"/>
                <w:rFonts w:hAnsi="宋体"/>
                <w:lang w:val="en-US" w:eastAsia="zh-CN" w:bidi="ar"/>
              </w:rPr>
              <w:t>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31</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对质量隐患未要求责任单位整改，情况严重的未要求施工单位暂时停止施工并报告建设单位；扣2~</w:t>
            </w:r>
            <w:r>
              <w:rPr>
                <w:rStyle w:val="39"/>
                <w:rFonts w:hAnsi="宋体"/>
                <w:lang w:val="en-US" w:eastAsia="zh-CN" w:bidi="ar"/>
              </w:rPr>
              <w:t>4</w:t>
            </w:r>
            <w:r>
              <w:rPr>
                <w:rStyle w:val="40"/>
                <w:rFonts w:hAnsi="宋体"/>
                <w:lang w:val="en-US" w:eastAsia="zh-CN" w:bidi="ar"/>
              </w:rPr>
              <w:t>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32</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施工单位对质量隐患拒不整改或不停止施工的，未及时向有关主管部门报告；扣2分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33</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未督促施工单位落实监督机构、建设单位或监理单位的整改要求，或未对整改落实情况进行复查；扣2~</w:t>
            </w:r>
            <w:r>
              <w:rPr>
                <w:rStyle w:val="39"/>
                <w:rFonts w:hAnsi="宋体"/>
                <w:lang w:val="en-US" w:eastAsia="zh-CN" w:bidi="ar"/>
              </w:rPr>
              <w:t>4</w:t>
            </w:r>
            <w:r>
              <w:rPr>
                <w:rStyle w:val="40"/>
                <w:rFonts w:hAnsi="宋体"/>
                <w:lang w:val="en-US" w:eastAsia="zh-CN" w:bidi="ar"/>
              </w:rPr>
              <w:t>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nil"/>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nil"/>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34</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安全文明管理</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安全验收</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危大工程（基坑、边坡、脚手架、模板支撑、建筑起重机械）未及时验收或无验收手续；验收无执行举牌验收制度，举牌验收资料监理未留存，验收合格的总监理工程师未签字确认后， 扣3~</w:t>
            </w:r>
            <w:r>
              <w:rPr>
                <w:rStyle w:val="39"/>
                <w:rFonts w:hAnsi="宋体"/>
                <w:lang w:val="en-US" w:eastAsia="zh-CN" w:bidi="ar"/>
              </w:rPr>
              <w:t>4</w:t>
            </w:r>
            <w:r>
              <w:rPr>
                <w:rStyle w:val="40"/>
                <w:rFonts w:hAnsi="宋体"/>
                <w:lang w:val="en-US" w:eastAsia="zh-CN" w:bidi="ar"/>
              </w:rPr>
              <w:t>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4</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35</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塔吊、施工电梯等大型起重设备安装、拆除手续及检测、备案、维保记录、举牌验收及影像资料不齐全；扣1~</w:t>
            </w:r>
            <w:r>
              <w:rPr>
                <w:rStyle w:val="39"/>
                <w:rFonts w:hAnsi="宋体"/>
                <w:lang w:val="en-US" w:eastAsia="zh-CN" w:bidi="ar"/>
              </w:rPr>
              <w:t>4</w:t>
            </w:r>
            <w:r>
              <w:rPr>
                <w:rStyle w:val="40"/>
                <w:rFonts w:hAnsi="宋体"/>
                <w:lang w:val="en-US" w:eastAsia="zh-CN" w:bidi="ar"/>
              </w:rPr>
              <w:t>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36</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专项方案 执行</w:t>
            </w:r>
          </w:p>
        </w:tc>
        <w:tc>
          <w:tcPr>
            <w:tcW w:w="730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未按审批通过的危险性较大及超过一定规模危险性较大的分部分项工程方案施工，未及时发现、未及时督促整改、未上报主管部门的；扣2~3分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37</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材料检查</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未对安全施工使用的材料（如安全网耐冲击性能、耐贯穿性能、耐火性、观感；活动板房防火；钢管、扣件等）及扣件式钢管支撑扭力矩等进行监理检查，无监理检查记录；扣1~3分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38</w:t>
            </w:r>
          </w:p>
        </w:tc>
        <w:tc>
          <w:tcPr>
            <w:tcW w:w="699" w:type="dxa"/>
            <w:vMerge w:val="continue"/>
            <w:tcBorders>
              <w:top w:val="nil"/>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8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安全文明管理</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安全问题 处理</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对违反安全管理法规或操作规程的行为不及时制止；扣2~6分；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6</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39</w:t>
            </w:r>
          </w:p>
        </w:tc>
        <w:tc>
          <w:tcPr>
            <w:tcW w:w="6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监理工作实施（50分）</w:t>
            </w: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未能发现严重安全隐患或不合格安全材料已经使用于工程；扣6分；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40</w:t>
            </w:r>
          </w:p>
        </w:tc>
        <w:tc>
          <w:tcPr>
            <w:tcW w:w="6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2"/>
                <w:szCs w:val="22"/>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对安全事故隐患未要求责任单位整改，情况严重的未要求施工单位暂时停止施工并及时报告建设单位；扣3~6分；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41</w:t>
            </w:r>
          </w:p>
        </w:tc>
        <w:tc>
          <w:tcPr>
            <w:tcW w:w="6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2"/>
                <w:szCs w:val="22"/>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施工单位对安全事故隐患拒不整改或不停止施工的，监理未及时向有关主管部门报告；扣1分；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42</w:t>
            </w:r>
          </w:p>
        </w:tc>
        <w:tc>
          <w:tcPr>
            <w:tcW w:w="6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2"/>
                <w:szCs w:val="22"/>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未及时上报安全事故或重大安全险情（包括基坑监测中，出现超预警值的，未上报或组织相关单位研究采取对应措施）；扣3~6分；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43</w:t>
            </w:r>
          </w:p>
        </w:tc>
        <w:tc>
          <w:tcPr>
            <w:tcW w:w="6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2"/>
                <w:szCs w:val="22"/>
                <w:u w:val="none"/>
              </w:rPr>
            </w:pPr>
          </w:p>
        </w:tc>
        <w:tc>
          <w:tcPr>
            <w:tcW w:w="6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未督促施工单位落实监督机构、建设单位或监理单位的整改要求，或未对整改落实情况进行复查；扣3~6分；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44</w:t>
            </w:r>
          </w:p>
        </w:tc>
        <w:tc>
          <w:tcPr>
            <w:tcW w:w="6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2"/>
                <w:szCs w:val="22"/>
                <w:u w:val="none"/>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进度投资控制</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进度计划 审查</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无总体、月、周进度计划或未对进度计划进行审查的；扣1~2分；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45</w:t>
            </w:r>
          </w:p>
        </w:tc>
        <w:tc>
          <w:tcPr>
            <w:tcW w:w="6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工期滞后 监理措施</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由于施工单位原因导致工期滞后，监理单位未及时提出书面指令督促其整改的；扣1分；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46</w:t>
            </w:r>
          </w:p>
        </w:tc>
        <w:tc>
          <w:tcPr>
            <w:tcW w:w="6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2"/>
                <w:szCs w:val="22"/>
                <w:u w:val="none"/>
              </w:rPr>
            </w:pPr>
          </w:p>
        </w:tc>
        <w:tc>
          <w:tcPr>
            <w:tcW w:w="1879"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协调管理</w:t>
            </w:r>
          </w:p>
        </w:tc>
        <w:tc>
          <w:tcPr>
            <w:tcW w:w="7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未按规定召开工地例会或专题会议协调解决质量安全问题的；扣1分；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4"/>
                <w:szCs w:val="24"/>
                <w:u w:val="none"/>
              </w:rPr>
            </w:pPr>
            <w:r>
              <w:rPr>
                <w:rFonts w:hint="default" w:ascii="仿宋_GB2312" w:hAnsi="宋体" w:eastAsia="仿宋_GB2312" w:cs="仿宋_GB2312"/>
                <w:b w:val="0"/>
                <w:bCs w:val="0"/>
                <w:i w:val="0"/>
                <w:iCs w:val="0"/>
                <w:color w:val="000000"/>
                <w:kern w:val="0"/>
                <w:sz w:val="24"/>
                <w:szCs w:val="24"/>
                <w:u w:val="none"/>
                <w:lang w:val="en-US" w:eastAsia="zh-CN" w:bidi="ar"/>
              </w:rPr>
              <w:t>1</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034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0</wp:posOffset>
                  </wp:positionV>
                  <wp:extent cx="142875" cy="504825"/>
                  <wp:effectExtent l="0" t="0" r="0" b="0"/>
                  <wp:wrapNone/>
                  <wp:docPr id="1" name="Text_Box_8"/>
                  <wp:cNvGraphicFramePr/>
                  <a:graphic xmlns:a="http://schemas.openxmlformats.org/drawingml/2006/main">
                    <a:graphicData uri="http://schemas.openxmlformats.org/drawingml/2006/picture">
                      <pic:pic xmlns:pic="http://schemas.openxmlformats.org/drawingml/2006/picture">
                        <pic:nvPicPr>
                          <pic:cNvPr id="1" name="Text_Box_8"/>
                          <pic:cNvPicPr/>
                        </pic:nvPicPr>
                        <pic:blipFill>
                          <a:blip r:embed="rId5"/>
                          <a:stretch>
                            <a:fillRect/>
                          </a:stretch>
                        </pic:blipFill>
                        <pic:spPr>
                          <a:xfrm>
                            <a:off x="0" y="0"/>
                            <a:ext cx="142875" cy="504825"/>
                          </a:xfrm>
                          <a:prstGeom prst="rect">
                            <a:avLst/>
                          </a:prstGeom>
                          <a:noFill/>
                          <a:ln>
                            <a:noFill/>
                          </a:ln>
                        </pic:spPr>
                      </pic:pic>
                    </a:graphicData>
                  </a:graphic>
                </wp:anchor>
              </w:drawing>
            </w:r>
            <w:r>
              <w:rPr>
                <w:rFonts w:hint="default" w:ascii="仿宋_GB2312" w:hAnsi="宋体" w:eastAsia="仿宋_GB2312" w:cs="仿宋_GB2312"/>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0</wp:posOffset>
                  </wp:positionV>
                  <wp:extent cx="142875" cy="504825"/>
                  <wp:effectExtent l="0" t="0" r="0" b="0"/>
                  <wp:wrapNone/>
                  <wp:docPr id="2" name="Text_Box_9"/>
                  <wp:cNvGraphicFramePr/>
                  <a:graphic xmlns:a="http://schemas.openxmlformats.org/drawingml/2006/main">
                    <a:graphicData uri="http://schemas.openxmlformats.org/drawingml/2006/picture">
                      <pic:pic xmlns:pic="http://schemas.openxmlformats.org/drawingml/2006/picture">
                        <pic:nvPicPr>
                          <pic:cNvPr id="2" name="Text_Box_9"/>
                          <pic:cNvPicPr/>
                        </pic:nvPicPr>
                        <pic:blipFill>
                          <a:blip r:embed="rId5"/>
                          <a:stretch>
                            <a:fillRect/>
                          </a:stretch>
                        </pic:blipFill>
                        <pic:spPr>
                          <a:xfrm>
                            <a:off x="0" y="0"/>
                            <a:ext cx="142875" cy="504825"/>
                          </a:xfrm>
                          <a:prstGeom prst="rect">
                            <a:avLst/>
                          </a:prstGeom>
                          <a:noFill/>
                          <a:ln>
                            <a:noFill/>
                          </a:ln>
                        </pic:spPr>
                      </pic:pic>
                    </a:graphicData>
                  </a:graphic>
                </wp:anchor>
              </w:drawing>
            </w:r>
            <w:r>
              <w:rPr>
                <w:rFonts w:hint="default" w:ascii="仿宋_GB2312" w:hAnsi="宋体" w:eastAsia="仿宋_GB2312" w:cs="仿宋_GB2312"/>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0</wp:posOffset>
                  </wp:positionV>
                  <wp:extent cx="142875" cy="504825"/>
                  <wp:effectExtent l="0" t="0" r="0" b="0"/>
                  <wp:wrapNone/>
                  <wp:docPr id="3" name="Text_Box_10"/>
                  <wp:cNvGraphicFramePr/>
                  <a:graphic xmlns:a="http://schemas.openxmlformats.org/drawingml/2006/main">
                    <a:graphicData uri="http://schemas.openxmlformats.org/drawingml/2006/picture">
                      <pic:pic xmlns:pic="http://schemas.openxmlformats.org/drawingml/2006/picture">
                        <pic:nvPicPr>
                          <pic:cNvPr id="3" name="Text_Box_10"/>
                          <pic:cNvPicPr/>
                        </pic:nvPicPr>
                        <pic:blipFill>
                          <a:blip r:embed="rId5"/>
                          <a:stretch>
                            <a:fillRect/>
                          </a:stretch>
                        </pic:blipFill>
                        <pic:spPr>
                          <a:xfrm>
                            <a:off x="0" y="0"/>
                            <a:ext cx="142875" cy="504825"/>
                          </a:xfrm>
                          <a:prstGeom prst="rect">
                            <a:avLst/>
                          </a:prstGeom>
                          <a:noFill/>
                          <a:ln>
                            <a:noFill/>
                          </a:ln>
                        </pic:spPr>
                      </pic:pic>
                    </a:graphicData>
                  </a:graphic>
                </wp:anchor>
              </w:drawing>
            </w:r>
            <w:r>
              <w:rPr>
                <w:rFonts w:hint="default" w:ascii="仿宋_GB2312" w:hAnsi="宋体" w:eastAsia="仿宋_GB2312" w:cs="仿宋_GB2312"/>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0</wp:posOffset>
                  </wp:positionV>
                  <wp:extent cx="142875" cy="504825"/>
                  <wp:effectExtent l="0" t="0" r="0" b="0"/>
                  <wp:wrapNone/>
                  <wp:docPr id="4" name="Text_Box_8_SpCnt_1"/>
                  <wp:cNvGraphicFramePr/>
                  <a:graphic xmlns:a="http://schemas.openxmlformats.org/drawingml/2006/main">
                    <a:graphicData uri="http://schemas.openxmlformats.org/drawingml/2006/picture">
                      <pic:pic xmlns:pic="http://schemas.openxmlformats.org/drawingml/2006/picture">
                        <pic:nvPicPr>
                          <pic:cNvPr id="4" name="Text_Box_8_SpCnt_1"/>
                          <pic:cNvPicPr/>
                        </pic:nvPicPr>
                        <pic:blipFill>
                          <a:blip r:embed="rId5"/>
                          <a:stretch>
                            <a:fillRect/>
                          </a:stretch>
                        </pic:blipFill>
                        <pic:spPr>
                          <a:xfrm>
                            <a:off x="0" y="0"/>
                            <a:ext cx="142875" cy="504825"/>
                          </a:xfrm>
                          <a:prstGeom prst="rect">
                            <a:avLst/>
                          </a:prstGeom>
                          <a:noFill/>
                          <a:ln>
                            <a:noFill/>
                          </a:ln>
                        </pic:spPr>
                      </pic:pic>
                    </a:graphicData>
                  </a:graphic>
                </wp:anchor>
              </w:drawing>
            </w:r>
            <w:r>
              <w:rPr>
                <w:rFonts w:hint="default" w:ascii="仿宋_GB2312" w:hAnsi="宋体" w:eastAsia="仿宋_GB2312" w:cs="仿宋_GB2312"/>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142875" cy="504825"/>
                  <wp:effectExtent l="0" t="0" r="0" b="0"/>
                  <wp:wrapNone/>
                  <wp:docPr id="5" name="Text_Box_3"/>
                  <wp:cNvGraphicFramePr/>
                  <a:graphic xmlns:a="http://schemas.openxmlformats.org/drawingml/2006/main">
                    <a:graphicData uri="http://schemas.openxmlformats.org/drawingml/2006/picture">
                      <pic:pic xmlns:pic="http://schemas.openxmlformats.org/drawingml/2006/picture">
                        <pic:nvPicPr>
                          <pic:cNvPr id="5" name="Text_Box_3"/>
                          <pic:cNvPicPr/>
                        </pic:nvPicPr>
                        <pic:blipFill>
                          <a:blip r:embed="rId5"/>
                          <a:stretch>
                            <a:fillRect/>
                          </a:stretch>
                        </pic:blipFill>
                        <pic:spPr>
                          <a:xfrm>
                            <a:off x="0" y="0"/>
                            <a:ext cx="142875" cy="504825"/>
                          </a:xfrm>
                          <a:prstGeom prst="rect">
                            <a:avLst/>
                          </a:prstGeom>
                          <a:noFill/>
                          <a:ln>
                            <a:noFill/>
                          </a:ln>
                        </pic:spPr>
                      </pic:pic>
                    </a:graphicData>
                  </a:graphic>
                </wp:anchor>
              </w:drawing>
            </w:r>
            <w:r>
              <w:rPr>
                <w:rFonts w:hint="default" w:ascii="仿宋_GB2312" w:hAnsi="宋体" w:eastAsia="仿宋_GB2312" w:cs="仿宋_GB2312"/>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142875" cy="504825"/>
                  <wp:effectExtent l="0" t="0" r="0" b="0"/>
                  <wp:wrapNone/>
                  <wp:docPr id="6" name="Text_Box_2"/>
                  <wp:cNvGraphicFramePr/>
                  <a:graphic xmlns:a="http://schemas.openxmlformats.org/drawingml/2006/main">
                    <a:graphicData uri="http://schemas.openxmlformats.org/drawingml/2006/picture">
                      <pic:pic xmlns:pic="http://schemas.openxmlformats.org/drawingml/2006/picture">
                        <pic:nvPicPr>
                          <pic:cNvPr id="6" name="Text_Box_2"/>
                          <pic:cNvPicPr/>
                        </pic:nvPicPr>
                        <pic:blipFill>
                          <a:blip r:embed="rId5"/>
                          <a:stretch>
                            <a:fillRect/>
                          </a:stretch>
                        </pic:blipFill>
                        <pic:spPr>
                          <a:xfrm>
                            <a:off x="0" y="0"/>
                            <a:ext cx="142875" cy="504825"/>
                          </a:xfrm>
                          <a:prstGeom prst="rect">
                            <a:avLst/>
                          </a:prstGeom>
                          <a:noFill/>
                          <a:ln>
                            <a:noFill/>
                          </a:ln>
                        </pic:spPr>
                      </pic:pic>
                    </a:graphicData>
                  </a:graphic>
                </wp:anchor>
              </w:drawing>
            </w:r>
            <w:r>
              <w:rPr>
                <w:rFonts w:hint="default" w:ascii="仿宋_GB2312" w:hAnsi="宋体" w:eastAsia="仿宋_GB2312" w:cs="仿宋_GB2312"/>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238125</wp:posOffset>
                  </wp:positionH>
                  <wp:positionV relativeFrom="paragraph">
                    <wp:posOffset>0</wp:posOffset>
                  </wp:positionV>
                  <wp:extent cx="142875" cy="504825"/>
                  <wp:effectExtent l="0" t="0" r="0" b="0"/>
                  <wp:wrapNone/>
                  <wp:docPr id="7" name="Text_Box_4"/>
                  <wp:cNvGraphicFramePr/>
                  <a:graphic xmlns:a="http://schemas.openxmlformats.org/drawingml/2006/main">
                    <a:graphicData uri="http://schemas.openxmlformats.org/drawingml/2006/picture">
                      <pic:pic xmlns:pic="http://schemas.openxmlformats.org/drawingml/2006/picture">
                        <pic:nvPicPr>
                          <pic:cNvPr id="7" name="Text_Box_4"/>
                          <pic:cNvPicPr/>
                        </pic:nvPicPr>
                        <pic:blipFill>
                          <a:blip r:embed="rId5"/>
                          <a:stretch>
                            <a:fillRect/>
                          </a:stretch>
                        </pic:blipFill>
                        <pic:spPr>
                          <a:xfrm>
                            <a:off x="0" y="0"/>
                            <a:ext cx="142875" cy="504825"/>
                          </a:xfrm>
                          <a:prstGeom prst="rect">
                            <a:avLst/>
                          </a:prstGeom>
                          <a:noFill/>
                          <a:ln>
                            <a:noFill/>
                          </a:ln>
                        </pic:spPr>
                      </pic:pic>
                    </a:graphicData>
                  </a:graphic>
                </wp:anchor>
              </w:drawing>
            </w:r>
            <w:r>
              <w:rPr>
                <w:rFonts w:hint="default" w:ascii="仿宋_GB2312" w:hAnsi="宋体" w:eastAsia="仿宋_GB2312" w:cs="仿宋_GB2312"/>
                <w:b/>
                <w:bCs/>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238125</wp:posOffset>
                  </wp:positionH>
                  <wp:positionV relativeFrom="paragraph">
                    <wp:posOffset>0</wp:posOffset>
                  </wp:positionV>
                  <wp:extent cx="142875" cy="504825"/>
                  <wp:effectExtent l="0" t="0" r="0" b="0"/>
                  <wp:wrapNone/>
                  <wp:docPr id="8" name="Text_Box_1"/>
                  <wp:cNvGraphicFramePr/>
                  <a:graphic xmlns:a="http://schemas.openxmlformats.org/drawingml/2006/main">
                    <a:graphicData uri="http://schemas.openxmlformats.org/drawingml/2006/picture">
                      <pic:pic xmlns:pic="http://schemas.openxmlformats.org/drawingml/2006/picture">
                        <pic:nvPicPr>
                          <pic:cNvPr id="8" name="Text_Box_1"/>
                          <pic:cNvPicPr/>
                        </pic:nvPicPr>
                        <pic:blipFill>
                          <a:blip r:embed="rId5"/>
                          <a:stretch>
                            <a:fillRect/>
                          </a:stretch>
                        </pic:blipFill>
                        <pic:spPr>
                          <a:xfrm>
                            <a:off x="0" y="0"/>
                            <a:ext cx="142875" cy="504825"/>
                          </a:xfrm>
                          <a:prstGeom prst="rect">
                            <a:avLst/>
                          </a:prstGeom>
                          <a:noFill/>
                          <a:ln>
                            <a:noFill/>
                          </a:ln>
                        </pic:spPr>
                      </pic:pic>
                    </a:graphicData>
                  </a:graphic>
                </wp:anchor>
              </w:drawing>
            </w:r>
            <w:r>
              <w:rPr>
                <w:rFonts w:hint="default" w:ascii="仿宋_GB2312" w:hAnsi="宋体" w:eastAsia="仿宋_GB2312" w:cs="仿宋_GB2312"/>
                <w:b/>
                <w:bCs/>
                <w:i w:val="0"/>
                <w:iCs w:val="0"/>
                <w:color w:val="000000"/>
                <w:kern w:val="0"/>
                <w:sz w:val="24"/>
                <w:szCs w:val="24"/>
                <w:u w:val="none"/>
                <w:lang w:val="en-US" w:eastAsia="zh-CN" w:bidi="ar"/>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val="0"/>
                <w:bCs w:val="0"/>
                <w:i w:val="0"/>
                <w:iCs w:val="0"/>
                <w:color w:val="000000"/>
                <w:sz w:val="24"/>
                <w:szCs w:val="24"/>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034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得分率=（实际得分/应得分数）*100</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157" w:type="dxa"/>
            <w:gridSpan w:val="2"/>
            <w:tcBorders>
              <w:top w:val="single" w:color="000000" w:sz="4" w:space="0"/>
              <w:left w:val="nil"/>
              <w:bottom w:val="nil"/>
              <w:right w:val="nil"/>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说明：</w:t>
            </w:r>
          </w:p>
        </w:tc>
        <w:tc>
          <w:tcPr>
            <w:tcW w:w="13723" w:type="dxa"/>
            <w:gridSpan w:val="7"/>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1、计分项目各检查内容累计扣分不得超过该计分项目应得分；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 w:type="dxa"/>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99" w:type="dxa"/>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13723"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2、检查时缺项部分不参与评分，应得分和实得分均为零分；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8" w:type="dxa"/>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699" w:type="dxa"/>
            <w:tcBorders>
              <w:top w:val="nil"/>
              <w:left w:val="nil"/>
              <w:bottom w:val="nil"/>
              <w:right w:val="nil"/>
            </w:tcBorders>
            <w:shd w:val="clear" w:color="auto" w:fill="FFFFFF"/>
            <w:vAlign w:val="center"/>
          </w:tcPr>
          <w:p>
            <w:pPr>
              <w:jc w:val="center"/>
              <w:rPr>
                <w:rFonts w:hint="default" w:ascii="仿宋_GB2312" w:hAnsi="宋体" w:eastAsia="仿宋_GB2312" w:cs="仿宋_GB2312"/>
                <w:b/>
                <w:bCs/>
                <w:i w:val="0"/>
                <w:iCs w:val="0"/>
                <w:color w:val="000000"/>
                <w:sz w:val="24"/>
                <w:szCs w:val="24"/>
                <w:u w:val="none"/>
              </w:rPr>
            </w:pPr>
          </w:p>
        </w:tc>
        <w:tc>
          <w:tcPr>
            <w:tcW w:w="13723"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3、本检查评分表得分率在85~100为优秀，75~84为良好，60~74为合格，低于60为不合格。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3036"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Style w:val="41"/>
                <w:rFonts w:hAnsi="宋体"/>
                <w:lang w:val="en-US" w:eastAsia="zh-CN" w:bidi="ar"/>
              </w:rPr>
              <w:t>现场项目负责人：</w:t>
            </w:r>
            <w:r>
              <w:rPr>
                <w:rStyle w:val="42"/>
                <w:rFonts w:hAnsi="宋体"/>
                <w:lang w:val="en-US" w:eastAsia="zh-CN" w:bidi="ar"/>
              </w:rPr>
              <w:t xml:space="preserve">                    </w:t>
            </w:r>
          </w:p>
        </w:tc>
        <w:tc>
          <w:tcPr>
            <w:tcW w:w="7307"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 xml:space="preserve">     检查人员：</w:t>
            </w:r>
          </w:p>
        </w:tc>
        <w:tc>
          <w:tcPr>
            <w:tcW w:w="4537"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 xml:space="preserve">检查时间：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5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3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0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bidi w:val="0"/>
        <w:jc w:val="left"/>
        <w:rPr>
          <w:rStyle w:val="25"/>
          <w:rFonts w:hint="eastAsia" w:ascii="宋体" w:hAnsi="宋体" w:eastAsia="宋体" w:cs="宋体"/>
          <w:sz w:val="28"/>
          <w:szCs w:val="28"/>
          <w:lang w:val="en-US" w:eastAsia="zh-CN"/>
        </w:rPr>
      </w:pPr>
    </w:p>
    <w:sectPr>
      <w:footerReference r:id="rId3" w:type="default"/>
      <w:pgSz w:w="16838" w:h="11906" w:orient="landscape"/>
      <w:pgMar w:top="85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TYxNThlYzMwMjE3ZmExNTQ0YjEzN2I2Njc3YjQifQ=="/>
    <w:docVar w:name="KSO_WPS_MARK_KEY" w:val="992a6059-954e-4eaa-8766-3b933ea4df42"/>
  </w:docVars>
  <w:rsids>
    <w:rsidRoot w:val="74922DF8"/>
    <w:rsid w:val="0026729B"/>
    <w:rsid w:val="02954528"/>
    <w:rsid w:val="02B250DA"/>
    <w:rsid w:val="02C44E0D"/>
    <w:rsid w:val="03AB0DAF"/>
    <w:rsid w:val="04F83B8C"/>
    <w:rsid w:val="054A15F9"/>
    <w:rsid w:val="05ED3472"/>
    <w:rsid w:val="065A43D6"/>
    <w:rsid w:val="08BC351A"/>
    <w:rsid w:val="09A83C44"/>
    <w:rsid w:val="0A502D79"/>
    <w:rsid w:val="0BA63055"/>
    <w:rsid w:val="0D5F5EB2"/>
    <w:rsid w:val="0E7E2314"/>
    <w:rsid w:val="10A4276C"/>
    <w:rsid w:val="10B04B1B"/>
    <w:rsid w:val="113969C6"/>
    <w:rsid w:val="11C23F91"/>
    <w:rsid w:val="1254758B"/>
    <w:rsid w:val="12843C71"/>
    <w:rsid w:val="13C92726"/>
    <w:rsid w:val="13F600B9"/>
    <w:rsid w:val="14E82BDD"/>
    <w:rsid w:val="17E97C70"/>
    <w:rsid w:val="17EA779E"/>
    <w:rsid w:val="197B7F92"/>
    <w:rsid w:val="1A6573F0"/>
    <w:rsid w:val="1CCD1445"/>
    <w:rsid w:val="1D1517A8"/>
    <w:rsid w:val="1FA119DF"/>
    <w:rsid w:val="1FA85442"/>
    <w:rsid w:val="1FC55DBE"/>
    <w:rsid w:val="20A025BE"/>
    <w:rsid w:val="2204520C"/>
    <w:rsid w:val="22B255F0"/>
    <w:rsid w:val="22E71EFB"/>
    <w:rsid w:val="22F87914"/>
    <w:rsid w:val="246F4781"/>
    <w:rsid w:val="261A6A42"/>
    <w:rsid w:val="27651E6B"/>
    <w:rsid w:val="2913792F"/>
    <w:rsid w:val="2B124464"/>
    <w:rsid w:val="2B8723B0"/>
    <w:rsid w:val="2C620559"/>
    <w:rsid w:val="2CF84874"/>
    <w:rsid w:val="2E447F81"/>
    <w:rsid w:val="2F6C7691"/>
    <w:rsid w:val="2F7B779B"/>
    <w:rsid w:val="30850E88"/>
    <w:rsid w:val="30DA0EB0"/>
    <w:rsid w:val="319A488E"/>
    <w:rsid w:val="326A6587"/>
    <w:rsid w:val="343D449C"/>
    <w:rsid w:val="34D04F4B"/>
    <w:rsid w:val="35AA25DF"/>
    <w:rsid w:val="363E4185"/>
    <w:rsid w:val="36483EA2"/>
    <w:rsid w:val="3659228D"/>
    <w:rsid w:val="37332A92"/>
    <w:rsid w:val="37AC51F0"/>
    <w:rsid w:val="37D90437"/>
    <w:rsid w:val="37FF59C4"/>
    <w:rsid w:val="391D5AED"/>
    <w:rsid w:val="39363667"/>
    <w:rsid w:val="39DF6453"/>
    <w:rsid w:val="3A015A23"/>
    <w:rsid w:val="3ABE2DBF"/>
    <w:rsid w:val="3B861EF8"/>
    <w:rsid w:val="3C622500"/>
    <w:rsid w:val="3CC03AAB"/>
    <w:rsid w:val="3EA35756"/>
    <w:rsid w:val="3EC51715"/>
    <w:rsid w:val="3F5A3FE1"/>
    <w:rsid w:val="3FD6411E"/>
    <w:rsid w:val="403322E0"/>
    <w:rsid w:val="407D1B7C"/>
    <w:rsid w:val="40845A51"/>
    <w:rsid w:val="40BF3EF4"/>
    <w:rsid w:val="416027EE"/>
    <w:rsid w:val="41BE575B"/>
    <w:rsid w:val="422363B0"/>
    <w:rsid w:val="429F5DD9"/>
    <w:rsid w:val="445F73DC"/>
    <w:rsid w:val="4521308C"/>
    <w:rsid w:val="45B91E08"/>
    <w:rsid w:val="45FE268C"/>
    <w:rsid w:val="47ED74ED"/>
    <w:rsid w:val="48812E9A"/>
    <w:rsid w:val="488A5754"/>
    <w:rsid w:val="49BE748D"/>
    <w:rsid w:val="4A55157F"/>
    <w:rsid w:val="4B5868B4"/>
    <w:rsid w:val="4B83273C"/>
    <w:rsid w:val="4F293ABD"/>
    <w:rsid w:val="4FB62F51"/>
    <w:rsid w:val="51653BC1"/>
    <w:rsid w:val="52F96C11"/>
    <w:rsid w:val="530D704E"/>
    <w:rsid w:val="53134418"/>
    <w:rsid w:val="538057C2"/>
    <w:rsid w:val="54592E6D"/>
    <w:rsid w:val="560D22EB"/>
    <w:rsid w:val="5658490A"/>
    <w:rsid w:val="567A473C"/>
    <w:rsid w:val="56EC71B3"/>
    <w:rsid w:val="584B45E2"/>
    <w:rsid w:val="58BB2198"/>
    <w:rsid w:val="58DF11CE"/>
    <w:rsid w:val="59383B8D"/>
    <w:rsid w:val="5A0361CD"/>
    <w:rsid w:val="5AA03537"/>
    <w:rsid w:val="5B2829B8"/>
    <w:rsid w:val="5C2F3597"/>
    <w:rsid w:val="5D6E3747"/>
    <w:rsid w:val="5EBD3CCB"/>
    <w:rsid w:val="5EE452A4"/>
    <w:rsid w:val="6041706D"/>
    <w:rsid w:val="61AE19EB"/>
    <w:rsid w:val="61EA577E"/>
    <w:rsid w:val="62E721B9"/>
    <w:rsid w:val="63744554"/>
    <w:rsid w:val="6565224C"/>
    <w:rsid w:val="6667733F"/>
    <w:rsid w:val="66E66C8D"/>
    <w:rsid w:val="670562A3"/>
    <w:rsid w:val="67C05A92"/>
    <w:rsid w:val="69553CA8"/>
    <w:rsid w:val="6A2C45C9"/>
    <w:rsid w:val="6A2D7FEB"/>
    <w:rsid w:val="6A4132FB"/>
    <w:rsid w:val="6A724E5A"/>
    <w:rsid w:val="6AF40B09"/>
    <w:rsid w:val="6CB43CDF"/>
    <w:rsid w:val="6CD417E7"/>
    <w:rsid w:val="6CDE411D"/>
    <w:rsid w:val="6EFC315D"/>
    <w:rsid w:val="707571A2"/>
    <w:rsid w:val="712C15B7"/>
    <w:rsid w:val="72242A21"/>
    <w:rsid w:val="73244902"/>
    <w:rsid w:val="73830C7C"/>
    <w:rsid w:val="7428537F"/>
    <w:rsid w:val="74922DF8"/>
    <w:rsid w:val="74E27C24"/>
    <w:rsid w:val="75034137"/>
    <w:rsid w:val="75E0097E"/>
    <w:rsid w:val="766D176F"/>
    <w:rsid w:val="76FA1495"/>
    <w:rsid w:val="77FC0FFD"/>
    <w:rsid w:val="78B30ED0"/>
    <w:rsid w:val="799F60E4"/>
    <w:rsid w:val="79E066C7"/>
    <w:rsid w:val="7A57076C"/>
    <w:rsid w:val="7C865EDA"/>
    <w:rsid w:val="7CDE5140"/>
    <w:rsid w:val="7E78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20" w:lineRule="atLeast"/>
      <w:jc w:val="left"/>
    </w:pPr>
    <w:rPr>
      <w:rFonts w:hint="eastAsia" w:ascii="宋体" w:hAnsi="宋体" w:eastAsia="宋体" w:cs="宋体"/>
      <w:b/>
      <w:bCs/>
      <w:kern w:val="44"/>
      <w:sz w:val="63"/>
      <w:szCs w:val="63"/>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13">
    <w:name w:val="Strong"/>
    <w:basedOn w:val="12"/>
    <w:qFormat/>
    <w:uiPriority w:val="0"/>
    <w:rPr>
      <w:b/>
      <w:bCs/>
    </w:rPr>
  </w:style>
  <w:style w:type="character" w:styleId="14">
    <w:name w:val="FollowedHyperlink"/>
    <w:basedOn w:val="12"/>
    <w:qFormat/>
    <w:uiPriority w:val="0"/>
    <w:rPr>
      <w:color w:val="252525"/>
      <w:u w:val="none"/>
    </w:rPr>
  </w:style>
  <w:style w:type="character" w:styleId="15">
    <w:name w:val="HTML Definition"/>
    <w:basedOn w:val="12"/>
    <w:qFormat/>
    <w:uiPriority w:val="0"/>
    <w:rPr>
      <w:i/>
      <w:iCs/>
    </w:rPr>
  </w:style>
  <w:style w:type="character" w:styleId="16">
    <w:name w:val="Hyperlink"/>
    <w:basedOn w:val="12"/>
    <w:qFormat/>
    <w:uiPriority w:val="0"/>
    <w:rPr>
      <w:color w:val="252525"/>
      <w:u w:val="none"/>
    </w:rPr>
  </w:style>
  <w:style w:type="character" w:customStyle="1" w:styleId="17">
    <w:name w:val="active"/>
    <w:basedOn w:val="12"/>
    <w:qFormat/>
    <w:uiPriority w:val="0"/>
    <w:rPr>
      <w:shd w:val="clear" w:fill="000000"/>
    </w:rPr>
  </w:style>
  <w:style w:type="character" w:customStyle="1" w:styleId="18">
    <w:name w:val="active1"/>
    <w:basedOn w:val="12"/>
    <w:qFormat/>
    <w:uiPriority w:val="0"/>
    <w:rPr>
      <w:bdr w:val="single" w:color="FFFFFF" w:sz="12" w:space="0"/>
    </w:rPr>
  </w:style>
  <w:style w:type="character" w:customStyle="1" w:styleId="19">
    <w:name w:val="active2"/>
    <w:basedOn w:val="12"/>
    <w:qFormat/>
    <w:uiPriority w:val="0"/>
    <w:rPr>
      <w:shd w:val="clear" w:fill="FF0000"/>
    </w:rPr>
  </w:style>
  <w:style w:type="character" w:customStyle="1" w:styleId="20">
    <w:name w:val="active3"/>
    <w:basedOn w:val="12"/>
    <w:qFormat/>
    <w:uiPriority w:val="0"/>
    <w:rPr>
      <w:bdr w:val="single" w:color="093671" w:sz="12" w:space="0"/>
      <w:shd w:val="clear" w:fill="FF8F20"/>
    </w:rPr>
  </w:style>
  <w:style w:type="character" w:customStyle="1" w:styleId="21">
    <w:name w:val="before"/>
    <w:basedOn w:val="12"/>
    <w:qFormat/>
    <w:uiPriority w:val="0"/>
  </w:style>
  <w:style w:type="character" w:customStyle="1" w:styleId="22">
    <w:name w:val="before1"/>
    <w:basedOn w:val="12"/>
    <w:qFormat/>
    <w:uiPriority w:val="0"/>
  </w:style>
  <w:style w:type="character" w:customStyle="1" w:styleId="23">
    <w:name w:val="before2"/>
    <w:basedOn w:val="12"/>
    <w:qFormat/>
    <w:uiPriority w:val="0"/>
    <w:rPr>
      <w:vanish/>
      <w:bdr w:val="single" w:color="FF6600" w:sz="6" w:space="0"/>
    </w:rPr>
  </w:style>
  <w:style w:type="character" w:customStyle="1" w:styleId="24">
    <w:name w:val="before3"/>
    <w:basedOn w:val="12"/>
    <w:qFormat/>
    <w:uiPriority w:val="0"/>
    <w:rPr>
      <w:vanish/>
      <w:shd w:val="clear" w:fill="FFFFFF"/>
    </w:rPr>
  </w:style>
  <w:style w:type="character" w:customStyle="1" w:styleId="25">
    <w:name w:val="selected2"/>
    <w:basedOn w:val="12"/>
    <w:qFormat/>
    <w:uiPriority w:val="0"/>
  </w:style>
  <w:style w:type="character" w:customStyle="1" w:styleId="26">
    <w:name w:val="btn-inner12"/>
    <w:basedOn w:val="12"/>
    <w:qFormat/>
    <w:uiPriority w:val="0"/>
  </w:style>
  <w:style w:type="character" w:customStyle="1" w:styleId="27">
    <w:name w:val="btn-inner13"/>
    <w:basedOn w:val="12"/>
    <w:qFormat/>
    <w:uiPriority w:val="0"/>
  </w:style>
  <w:style w:type="character" w:customStyle="1" w:styleId="28">
    <w:name w:val="swiper-pagination-bullet-active18"/>
    <w:basedOn w:val="12"/>
    <w:qFormat/>
    <w:uiPriority w:val="0"/>
    <w:rPr>
      <w:shd w:val="clear" w:fill="FF6600"/>
    </w:rPr>
  </w:style>
  <w:style w:type="character" w:customStyle="1" w:styleId="29">
    <w:name w:val="swiper-pagination-bullet-active19"/>
    <w:basedOn w:val="12"/>
    <w:qFormat/>
    <w:uiPriority w:val="0"/>
    <w:rPr>
      <w:shd w:val="clear" w:fill="FF6600"/>
    </w:rPr>
  </w:style>
  <w:style w:type="character" w:customStyle="1" w:styleId="30">
    <w:name w:val="swiper-pagination-bullet-active20"/>
    <w:basedOn w:val="12"/>
    <w:qFormat/>
    <w:uiPriority w:val="0"/>
  </w:style>
  <w:style w:type="character" w:customStyle="1" w:styleId="31">
    <w:name w:val="on"/>
    <w:basedOn w:val="12"/>
    <w:qFormat/>
    <w:uiPriority w:val="0"/>
    <w:rPr>
      <w:color w:val="222222"/>
      <w:sz w:val="48"/>
      <w:szCs w:val="48"/>
    </w:rPr>
  </w:style>
  <w:style w:type="character" w:customStyle="1" w:styleId="32">
    <w:name w:val="on1"/>
    <w:basedOn w:val="12"/>
    <w:qFormat/>
    <w:uiPriority w:val="0"/>
    <w:rPr>
      <w:sz w:val="33"/>
      <w:szCs w:val="33"/>
    </w:rPr>
  </w:style>
  <w:style w:type="character" w:customStyle="1" w:styleId="33">
    <w:name w:val="active8"/>
    <w:basedOn w:val="12"/>
    <w:qFormat/>
    <w:uiPriority w:val="0"/>
    <w:rPr>
      <w:shd w:val="clear" w:fill="FF0000"/>
    </w:rPr>
  </w:style>
  <w:style w:type="character" w:customStyle="1" w:styleId="34">
    <w:name w:val="active9"/>
    <w:basedOn w:val="12"/>
    <w:qFormat/>
    <w:uiPriority w:val="0"/>
    <w:rPr>
      <w:bdr w:val="single" w:color="FFFFFF" w:sz="12" w:space="0"/>
    </w:rPr>
  </w:style>
  <w:style w:type="character" w:customStyle="1" w:styleId="35">
    <w:name w:val="active10"/>
    <w:basedOn w:val="12"/>
    <w:qFormat/>
    <w:uiPriority w:val="0"/>
    <w:rPr>
      <w:bdr w:val="single" w:color="093671" w:sz="12" w:space="0"/>
      <w:shd w:val="clear" w:fill="FF8F20"/>
    </w:rPr>
  </w:style>
  <w:style w:type="character" w:customStyle="1" w:styleId="36">
    <w:name w:val="active11"/>
    <w:basedOn w:val="12"/>
    <w:qFormat/>
    <w:uiPriority w:val="0"/>
    <w:rPr>
      <w:shd w:val="clear" w:fill="000000"/>
    </w:rPr>
  </w:style>
  <w:style w:type="character" w:customStyle="1" w:styleId="37">
    <w:name w:val="btn-inner"/>
    <w:basedOn w:val="12"/>
    <w:qFormat/>
    <w:uiPriority w:val="0"/>
  </w:style>
  <w:style w:type="character" w:customStyle="1" w:styleId="38">
    <w:name w:val="selected"/>
    <w:basedOn w:val="12"/>
    <w:qFormat/>
    <w:uiPriority w:val="0"/>
  </w:style>
  <w:style w:type="character" w:customStyle="1" w:styleId="39">
    <w:name w:val="font101"/>
    <w:basedOn w:val="12"/>
    <w:qFormat/>
    <w:uiPriority w:val="0"/>
    <w:rPr>
      <w:rFonts w:hint="default" w:ascii="仿宋_GB2312" w:eastAsia="仿宋_GB2312" w:cs="仿宋_GB2312"/>
      <w:b/>
      <w:bCs/>
      <w:color w:val="FF0000"/>
      <w:sz w:val="22"/>
      <w:szCs w:val="22"/>
      <w:u w:val="none"/>
    </w:rPr>
  </w:style>
  <w:style w:type="character" w:customStyle="1" w:styleId="40">
    <w:name w:val="font51"/>
    <w:basedOn w:val="12"/>
    <w:qFormat/>
    <w:uiPriority w:val="0"/>
    <w:rPr>
      <w:rFonts w:hint="default" w:ascii="仿宋_GB2312" w:eastAsia="仿宋_GB2312" w:cs="仿宋_GB2312"/>
      <w:b/>
      <w:bCs/>
      <w:color w:val="000000"/>
      <w:sz w:val="22"/>
      <w:szCs w:val="22"/>
      <w:u w:val="none"/>
    </w:rPr>
  </w:style>
  <w:style w:type="character" w:customStyle="1" w:styleId="41">
    <w:name w:val="font61"/>
    <w:basedOn w:val="12"/>
    <w:qFormat/>
    <w:uiPriority w:val="0"/>
    <w:rPr>
      <w:rFonts w:hint="default" w:ascii="仿宋_GB2312" w:eastAsia="仿宋_GB2312" w:cs="仿宋_GB2312"/>
      <w:b/>
      <w:bCs/>
      <w:color w:val="000000"/>
      <w:sz w:val="24"/>
      <w:szCs w:val="24"/>
      <w:u w:val="none"/>
    </w:rPr>
  </w:style>
  <w:style w:type="character" w:customStyle="1" w:styleId="42">
    <w:name w:val="font111"/>
    <w:basedOn w:val="12"/>
    <w:qFormat/>
    <w:uiPriority w:val="0"/>
    <w:rPr>
      <w:rFonts w:hint="default" w:ascii="仿宋_GB2312" w:eastAsia="仿宋_GB2312" w:cs="仿宋_GB2312"/>
      <w:b/>
      <w:bCs/>
      <w:color w:val="000000"/>
      <w:sz w:val="24"/>
      <w:szCs w:val="24"/>
      <w:u w:val="single"/>
    </w:rPr>
  </w:style>
  <w:style w:type="character" w:customStyle="1" w:styleId="43">
    <w:name w:val="active4"/>
    <w:basedOn w:val="12"/>
    <w:qFormat/>
    <w:uiPriority w:val="0"/>
    <w:rPr>
      <w:bdr w:val="single" w:color="093671" w:sz="12" w:space="0"/>
      <w:shd w:val="clear" w:fill="FF8F20"/>
    </w:rPr>
  </w:style>
  <w:style w:type="character" w:customStyle="1" w:styleId="44">
    <w:name w:val="active5"/>
    <w:basedOn w:val="12"/>
    <w:qFormat/>
    <w:uiPriority w:val="0"/>
    <w:rPr>
      <w:bdr w:val="single" w:color="FFFFFF" w:sz="12" w:space="0"/>
    </w:rPr>
  </w:style>
  <w:style w:type="character" w:customStyle="1" w:styleId="45">
    <w:name w:val="active6"/>
    <w:basedOn w:val="12"/>
    <w:qFormat/>
    <w:uiPriority w:val="0"/>
    <w:rPr>
      <w:shd w:val="clear" w:fill="FF0000"/>
    </w:rPr>
  </w:style>
  <w:style w:type="character" w:customStyle="1" w:styleId="46">
    <w:name w:val="active7"/>
    <w:basedOn w:val="12"/>
    <w:qFormat/>
    <w:uiPriority w:val="0"/>
    <w:rPr>
      <w:shd w:val="clear" w:fill="000000"/>
    </w:rPr>
  </w:style>
  <w:style w:type="character" w:customStyle="1" w:styleId="47">
    <w:name w:val="swiper-pagination-bullet-active17"/>
    <w:basedOn w:val="12"/>
    <w:qFormat/>
    <w:uiPriority w:val="0"/>
    <w:rPr>
      <w:shd w:val="clear" w:fill="FF6600"/>
    </w:rPr>
  </w:style>
  <w:style w:type="character" w:customStyle="1" w:styleId="48">
    <w:name w:val="swiper-pagination-bullet-active"/>
    <w:basedOn w:val="12"/>
    <w:qFormat/>
    <w:uiPriority w:val="0"/>
  </w:style>
  <w:style w:type="character" w:customStyle="1" w:styleId="49">
    <w:name w:val="swiper-pagination-bullet-active1"/>
    <w:basedOn w:val="12"/>
    <w:qFormat/>
    <w:uiPriority w:val="0"/>
    <w:rPr>
      <w:shd w:val="clear" w:fill="FF6600"/>
    </w:rPr>
  </w:style>
  <w:style w:type="character" w:customStyle="1" w:styleId="50">
    <w:name w:val="swiper-pagination-bullet-active2"/>
    <w:basedOn w:val="12"/>
    <w:qFormat/>
    <w:uiPriority w:val="0"/>
    <w:rPr>
      <w:shd w:val="clear" w:fill="FF66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3841</Words>
  <Characters>4034</Characters>
  <Lines>0</Lines>
  <Paragraphs>0</Paragraphs>
  <TotalTime>2</TotalTime>
  <ScaleCrop>false</ScaleCrop>
  <LinksUpToDate>false</LinksUpToDate>
  <CharactersWithSpaces>4169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2024-04-22T07:23:00Z</dcterms:created>
  <dc:creator>琼花</dc:creator>
  <cp:lastModifiedBy>翠婷</cp:lastModifiedBy>
  <cp:lastPrinted>2024-05-20T01:26:00Z</cp:lastPrinted>
  <dcterms:modified xsi:type="dcterms:W3CDTF">2024-06-04T03:11:14Z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03769D72007F48DEB8554629BC2F30A2</vt:lpwstr>
  </property>
</Properties>
</file>